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52" w:line="259" w:lineRule="auto"/>
        <w:ind w:right="-16.0629921259840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Adscripciones para estudiantes de carreras de grado y pre-grado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52" w:line="259" w:lineRule="auto"/>
        <w:ind w:right="-16.0629921259840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la Escuela de Humanidades de la UNSAM</w:t>
      </w:r>
    </w:p>
    <w:p w:rsidR="00000000" w:rsidDel="00000000" w:rsidP="00000000" w:rsidRDefault="00000000" w:rsidRPr="00000000" w14:paraId="00000003">
      <w:pPr>
        <w:widowControl w:val="0"/>
        <w:spacing w:before="52" w:line="240" w:lineRule="auto"/>
        <w:ind w:left="3553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52"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Formulario de inscripción</w:t>
      </w:r>
    </w:p>
    <w:p w:rsidR="00000000" w:rsidDel="00000000" w:rsidP="00000000" w:rsidRDefault="00000000" w:rsidRPr="00000000" w14:paraId="00000005">
      <w:pPr>
        <w:widowControl w:val="0"/>
        <w:spacing w:before="52" w:line="240" w:lineRule="auto"/>
        <w:ind w:left="355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leader="none" w:pos="1122"/>
        </w:tabs>
        <w:spacing w:after="0" w:before="22" w:line="240" w:lineRule="auto"/>
        <w:ind w:left="1122" w:hanging="361.0000000000001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tabs>
          <w:tab w:val="left" w:leader="none" w:pos="762"/>
        </w:tabs>
        <w:spacing w:before="52" w:line="240" w:lineRule="auto"/>
        <w:ind w:left="762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Apellido/s: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tabs>
          <w:tab w:val="left" w:leader="none" w:pos="762"/>
        </w:tabs>
        <w:spacing w:before="146" w:line="240" w:lineRule="auto"/>
        <w:ind w:left="762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Nombres/s: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tabs>
          <w:tab w:val="left" w:leader="none" w:pos="762"/>
        </w:tabs>
        <w:spacing w:before="147" w:line="240" w:lineRule="auto"/>
        <w:ind w:left="762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Fecha de nacimiento: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tabs>
          <w:tab w:val="left" w:leader="none" w:pos="762"/>
        </w:tabs>
        <w:spacing w:before="146" w:line="240" w:lineRule="auto"/>
        <w:ind w:left="762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Documento Nacional de Identidad / Pasaporte: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tabs>
          <w:tab w:val="left" w:leader="none" w:pos="762"/>
        </w:tabs>
        <w:spacing w:before="146" w:line="240" w:lineRule="auto"/>
        <w:ind w:left="762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tabs>
          <w:tab w:val="left" w:leader="none" w:pos="761"/>
          <w:tab w:val="left" w:leader="none" w:pos="762"/>
        </w:tabs>
        <w:spacing w:before="144" w:line="240" w:lineRule="auto"/>
        <w:ind w:left="762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Carrera que cursa: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leader="none" w:pos="1122"/>
        </w:tabs>
        <w:spacing w:after="0" w:before="0" w:line="240" w:lineRule="auto"/>
        <w:ind w:left="1122" w:hanging="361.0000000000001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9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6"/>
        </w:numPr>
        <w:tabs>
          <w:tab w:val="left" w:leader="none" w:pos="762"/>
        </w:tabs>
        <w:spacing w:line="240" w:lineRule="auto"/>
        <w:ind w:left="762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Tipo de postulación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(marque con una X en los recuadros correspondientes)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762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0.909090909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870"/>
        <w:gridCol w:w="3105"/>
        <w:gridCol w:w="850.909090909091"/>
        <w:tblGridChange w:id="0">
          <w:tblGrid>
            <w:gridCol w:w="4665"/>
            <w:gridCol w:w="870"/>
            <w:gridCol w:w="3105"/>
            <w:gridCol w:w="850.909090909091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Unidad curricular que se dicta ambos cuatrimestres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Nueva postulación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Renovación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Continuidad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 Unidad curricular que se dicta durante un cuatrimestre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Nueva postulación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Renovación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Continuidad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 Proyecto de investigación y/o extensión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Nueva postulación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Renovación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tabs>
          <w:tab w:val="left" w:leader="none" w:pos="762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762"/>
        </w:tabs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Guía sobre opciones de postulación: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7"/>
        </w:numPr>
        <w:tabs>
          <w:tab w:val="left" w:leader="none" w:pos="762"/>
        </w:tabs>
        <w:spacing w:line="240" w:lineRule="auto"/>
        <w:ind w:left="72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Nueva postulación: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es una asignatura o proyecto en el cual nunca fuiste adscriptx. Aclaración: si sos unx estudiante que durante el cuatrimestre anterior fue adscriptx en una asignatura que no se dicta en los dos cuatrimestres, tenes la posibilidad de presentarte a una nueva unidad curricular para completar el año de adscripción. En ese caso, se trata de una nueva postulación pero es importante que completes el punto "e" del formulario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7"/>
        </w:numPr>
        <w:tabs>
          <w:tab w:val="left" w:leader="none" w:pos="762"/>
        </w:tabs>
        <w:spacing w:line="240" w:lineRule="auto"/>
        <w:ind w:left="72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Renovación: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ya completaste un año siendo adscriptx de la misma asignatura o proyecto, o lo completaste mediante la participación en dos asignaturas consecutivas, y ahora te encontrás renovando por un periodo más (es decir, un año más). 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7"/>
        </w:numPr>
        <w:tabs>
          <w:tab w:val="left" w:leader="none" w:pos="762"/>
        </w:tabs>
        <w:spacing w:line="240" w:lineRule="auto"/>
        <w:ind w:left="72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Continuidad: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ya completaste un cuatrimestre como adscriptx dentro de la asignatura y ahora que vuelve a ofertarse, estarás continuando durante un cuatrimestre más, lo cual te permitirá completar el año en la experiencia de adscripción. Esto puede ser porque la asignatura se oferta en los dos cuatrimestres o porque inició el siguiente ciclo lectivo y el espacio se está volviendo a ofertar en la convocatoria a adscripciones.</w:t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762"/>
        </w:tabs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6"/>
        </w:numPr>
        <w:tabs>
          <w:tab w:val="left" w:leader="none" w:pos="1122"/>
        </w:tabs>
        <w:spacing w:before="179" w:line="240" w:lineRule="auto"/>
        <w:ind w:left="1122" w:hanging="361.0000000000001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 del espacio al que postula (unidad curricular y/o proyecto):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1122"/>
        </w:tabs>
        <w:spacing w:before="179" w:line="240" w:lineRule="auto"/>
        <w:ind w:left="7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1122"/>
        </w:tabs>
        <w:spacing w:before="179" w:line="240" w:lineRule="auto"/>
        <w:ind w:left="7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6"/>
        </w:numPr>
        <w:tabs>
          <w:tab w:val="left" w:leader="none" w:pos="1122"/>
        </w:tabs>
        <w:spacing w:before="179" w:line="240" w:lineRule="auto"/>
        <w:ind w:left="1122" w:hanging="361.0000000000001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 de la carrera que ofrece el espacio al cual se postula: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1122"/>
        </w:tabs>
        <w:spacing w:before="179" w:line="240" w:lineRule="auto"/>
        <w:ind w:left="7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1122"/>
        </w:tabs>
        <w:spacing w:before="179" w:line="240" w:lineRule="auto"/>
        <w:ind w:left="7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6"/>
        </w:numPr>
        <w:tabs>
          <w:tab w:val="left" w:leader="none" w:pos="1122"/>
        </w:tabs>
        <w:spacing w:line="240" w:lineRule="auto"/>
        <w:ind w:left="1122" w:hanging="361.0000000000001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Docente/s a cargo: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1122"/>
        </w:tabs>
        <w:spacing w:line="240" w:lineRule="auto"/>
        <w:ind w:left="7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1122"/>
        </w:tabs>
        <w:spacing w:line="240" w:lineRule="auto"/>
        <w:ind w:left="7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1122"/>
        </w:tabs>
        <w:spacing w:line="240" w:lineRule="auto"/>
        <w:ind w:left="7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6"/>
        </w:numPr>
        <w:tabs>
          <w:tab w:val="left" w:leader="none" w:pos="1122"/>
        </w:tabs>
        <w:spacing w:line="240" w:lineRule="auto"/>
        <w:ind w:left="1122" w:hanging="361.000000000000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Completar sólo en caso de corresponder.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1122"/>
        </w:tabs>
        <w:spacing w:line="240" w:lineRule="auto"/>
        <w:ind w:left="76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Teniendo en cuenta que hay asignaturas que se dictan únicamente durante un cuatrimestre del año, solo en el caso de que esta inscripción sea una nueva postulación a los fines de completar el año de adscripción, le pedimos que por favor indique a continuación cuál fue la asignatura en la cual fue adscriptx durante el cuatrimestre anterior: 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1122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1122"/>
        </w:tabs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1122"/>
        </w:tabs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1122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1122"/>
        </w:tabs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1122"/>
        </w:tabs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1122"/>
        </w:tabs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1122"/>
        </w:tabs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1122"/>
        </w:tabs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1122"/>
        </w:tabs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1122"/>
        </w:tabs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1122"/>
        </w:tabs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1122"/>
        </w:tabs>
        <w:spacing w:line="240" w:lineRule="auto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FIRMA, ACLARACIÓN Y DNI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Sai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aira Thin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tabs>
        <w:tab w:val="center" w:leader="none" w:pos="4252"/>
        <w:tab w:val="right" w:leader="none" w:pos="8504"/>
      </w:tabs>
      <w:spacing w:line="240" w:lineRule="auto"/>
      <w:ind w:left="142" w:firstLine="0"/>
      <w:rPr>
        <w:rFonts w:ascii="Saira Thin" w:cs="Saira Thin" w:eastAsia="Saira Thin" w:hAnsi="Saira Thi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tabs>
        <w:tab w:val="center" w:leader="none" w:pos="4252"/>
        <w:tab w:val="right" w:leader="none" w:pos="8504"/>
      </w:tabs>
      <w:spacing w:line="240" w:lineRule="auto"/>
      <w:ind w:left="142" w:firstLine="0"/>
      <w:rPr>
        <w:rFonts w:ascii="Saira Thin" w:cs="Saira Thin" w:eastAsia="Saira Thin" w:hAnsi="Saira Thin"/>
        <w:sz w:val="20"/>
        <w:szCs w:val="20"/>
      </w:rPr>
    </w:pPr>
    <w:r w:rsidDel="00000000" w:rsidR="00000000" w:rsidRPr="00000000">
      <w:rPr>
        <w:rFonts w:ascii="Saira Thin" w:cs="Saira Thin" w:eastAsia="Saira Thin" w:hAnsi="Saira Thin"/>
        <w:sz w:val="20"/>
        <w:szCs w:val="20"/>
        <w:rtl w:val="0"/>
      </w:rPr>
      <w:t xml:space="preserve">campus miguelete</w:t>
    </w:r>
    <w:r w:rsidDel="00000000" w:rsidR="00000000" w:rsidRPr="00000000">
      <w:rPr>
        <w:rFonts w:ascii="Saira" w:cs="Saira" w:eastAsia="Saira" w:hAnsi="Saira"/>
        <w:sz w:val="20"/>
        <w:szCs w:val="20"/>
        <w:rtl w:val="0"/>
      </w:rPr>
      <w:t xml:space="preserve"> </w:t>
    </w:r>
    <w:r w:rsidDel="00000000" w:rsidR="00000000" w:rsidRPr="00000000">
      <w:rPr>
        <w:rFonts w:ascii="Saira Thin" w:cs="Saira Thin" w:eastAsia="Saira Thin" w:hAnsi="Saira Thin"/>
        <w:sz w:val="20"/>
        <w:szCs w:val="20"/>
        <w:rtl w:val="0"/>
      </w:rPr>
      <w:t xml:space="preserve">– Av. 25 de Mayo y Francia, San Martín, Buenos Aires, Argentina</w:t>
    </w:r>
  </w:p>
  <w:p w:rsidR="00000000" w:rsidDel="00000000" w:rsidP="00000000" w:rsidRDefault="00000000" w:rsidRPr="00000000" w14:paraId="0000005A">
    <w:pPr>
      <w:tabs>
        <w:tab w:val="center" w:leader="none" w:pos="4252"/>
        <w:tab w:val="right" w:leader="none" w:pos="8504"/>
      </w:tabs>
      <w:spacing w:line="480" w:lineRule="auto"/>
      <w:ind w:left="142" w:firstLine="0"/>
      <w:jc w:val="both"/>
      <w:rPr/>
    </w:pPr>
    <w:r w:rsidDel="00000000" w:rsidR="00000000" w:rsidRPr="00000000">
      <w:rPr>
        <w:rFonts w:ascii="Saira Thin" w:cs="Saira Thin" w:eastAsia="Saira Thin" w:hAnsi="Saira Thin"/>
        <w:sz w:val="20"/>
        <w:szCs w:val="20"/>
        <w:rtl w:val="0"/>
      </w:rPr>
      <w:t xml:space="preserve">[+54 11] 4006 1500 – humanidades@unsam.edu.ar – www.humanidades.unsam.edu.ar                   </w:t>
    </w:r>
    <w:r w:rsidDel="00000000" w:rsidR="00000000" w:rsidRPr="00000000">
      <w:rPr>
        <w:rFonts w:ascii="Saira Thin" w:cs="Saira Thin" w:eastAsia="Saira Thin" w:hAnsi="Saira Thi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jc w:val="right"/>
      <w:rPr>
        <w:rFonts w:ascii="Saira Thin" w:cs="Saira Thin" w:eastAsia="Saira Thin" w:hAnsi="Saira Thin"/>
        <w:sz w:val="20"/>
        <w:szCs w:val="20"/>
      </w:rPr>
    </w:pPr>
    <w:r w:rsidDel="00000000" w:rsidR="00000000" w:rsidRPr="00000000">
      <w:rPr>
        <w:rFonts w:ascii="Saira Thin" w:cs="Saira Thin" w:eastAsia="Saira Thin" w:hAnsi="Saira Thi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-447671</wp:posOffset>
          </wp:positionV>
          <wp:extent cx="2495550" cy="842010"/>
          <wp:effectExtent b="0" l="0" r="0" t="0"/>
          <wp:wrapSquare wrapText="bothSides" distB="0" distT="0" distL="114300" distR="11430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5550" cy="8420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-266697</wp:posOffset>
          </wp:positionV>
          <wp:extent cx="686753" cy="609600"/>
          <wp:effectExtent b="0" l="0" r="0" t="0"/>
          <wp:wrapSquare wrapText="bothSides" distB="0" distT="0" distL="114300" distR="114300"/>
          <wp:docPr descr="Iso-UNSAM.jpg" id="6" name="image1.jpg"/>
          <a:graphic>
            <a:graphicData uri="http://schemas.openxmlformats.org/drawingml/2006/picture">
              <pic:pic>
                <pic:nvPicPr>
                  <pic:cNvPr descr="Iso-UNSAM.jpg" id="0" name="image1.jpg"/>
                  <pic:cNvPicPr preferRelativeResize="0"/>
                </pic:nvPicPr>
                <pic:blipFill>
                  <a:blip r:embed="rId1"/>
                  <a:srcRect b="-6092" l="-5977" r="-5977" t="-6092"/>
                  <a:stretch>
                    <a:fillRect/>
                  </a:stretch>
                </pic:blipFill>
                <pic:spPr>
                  <a:xfrm>
                    <a:off x="0" y="0"/>
                    <a:ext cx="686753" cy="609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122" w:hanging="360"/>
      </w:pPr>
      <w:rPr>
        <w:rFonts w:ascii="Calibri" w:cs="Calibri" w:eastAsia="Calibri" w:hAnsi="Calibri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956" w:hanging="360"/>
      </w:pPr>
      <w:rPr/>
    </w:lvl>
    <w:lvl w:ilvl="2">
      <w:start w:val="0"/>
      <w:numFmt w:val="bullet"/>
      <w:lvlText w:val="•"/>
      <w:lvlJc w:val="left"/>
      <w:pPr>
        <w:ind w:left="2792" w:hanging="360"/>
      </w:pPr>
      <w:rPr/>
    </w:lvl>
    <w:lvl w:ilvl="3">
      <w:start w:val="0"/>
      <w:numFmt w:val="bullet"/>
      <w:lvlText w:val="•"/>
      <w:lvlJc w:val="left"/>
      <w:pPr>
        <w:ind w:left="3628" w:hanging="360"/>
      </w:pPr>
      <w:rPr/>
    </w:lvl>
    <w:lvl w:ilvl="4">
      <w:start w:val="0"/>
      <w:numFmt w:val="bullet"/>
      <w:lvlText w:val="•"/>
      <w:lvlJc w:val="left"/>
      <w:pPr>
        <w:ind w:left="4464" w:hanging="360"/>
      </w:pPr>
      <w:rPr/>
    </w:lvl>
    <w:lvl w:ilvl="5">
      <w:start w:val="0"/>
      <w:numFmt w:val="bullet"/>
      <w:lvlText w:val="•"/>
      <w:lvlJc w:val="left"/>
      <w:pPr>
        <w:ind w:left="5300" w:hanging="360"/>
      </w:pPr>
      <w:rPr/>
    </w:lvl>
    <w:lvl w:ilvl="6">
      <w:start w:val="0"/>
      <w:numFmt w:val="bullet"/>
      <w:lvlText w:val="•"/>
      <w:lvlJc w:val="left"/>
      <w:pPr>
        <w:ind w:left="6136" w:hanging="360"/>
      </w:pPr>
      <w:rPr/>
    </w:lvl>
    <w:lvl w:ilvl="7">
      <w:start w:val="0"/>
      <w:numFmt w:val="bullet"/>
      <w:lvlText w:val="•"/>
      <w:lvlJc w:val="left"/>
      <w:pPr>
        <w:ind w:left="6972" w:hanging="360"/>
      </w:pPr>
      <w:rPr/>
    </w:lvl>
    <w:lvl w:ilvl="8">
      <w:start w:val="0"/>
      <w:numFmt w:val="bullet"/>
      <w:lvlText w:val="•"/>
      <w:lvlJc w:val="left"/>
      <w:pPr>
        <w:ind w:left="7808" w:hanging="36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62" w:hanging="360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•"/>
      <w:lvlJc w:val="left"/>
      <w:pPr>
        <w:ind w:left="1632" w:hanging="360"/>
      </w:pPr>
      <w:rPr/>
    </w:lvl>
    <w:lvl w:ilvl="2">
      <w:start w:val="0"/>
      <w:numFmt w:val="bullet"/>
      <w:lvlText w:val="•"/>
      <w:lvlJc w:val="left"/>
      <w:pPr>
        <w:ind w:left="2504" w:hanging="360"/>
      </w:pPr>
      <w:rPr/>
    </w:lvl>
    <w:lvl w:ilvl="3">
      <w:start w:val="0"/>
      <w:numFmt w:val="bullet"/>
      <w:lvlText w:val="•"/>
      <w:lvlJc w:val="left"/>
      <w:pPr>
        <w:ind w:left="3376" w:hanging="360"/>
      </w:pPr>
      <w:rPr/>
    </w:lvl>
    <w:lvl w:ilvl="4">
      <w:start w:val="0"/>
      <w:numFmt w:val="bullet"/>
      <w:lvlText w:val="•"/>
      <w:lvlJc w:val="left"/>
      <w:pPr>
        <w:ind w:left="4248" w:hanging="360"/>
      </w:pPr>
      <w:rPr/>
    </w:lvl>
    <w:lvl w:ilvl="5">
      <w:start w:val="0"/>
      <w:numFmt w:val="bullet"/>
      <w:lvlText w:val="•"/>
      <w:lvlJc w:val="left"/>
      <w:pPr>
        <w:ind w:left="5120" w:hanging="360"/>
      </w:pPr>
      <w:rPr/>
    </w:lvl>
    <w:lvl w:ilvl="6">
      <w:start w:val="0"/>
      <w:numFmt w:val="bullet"/>
      <w:lvlText w:val="•"/>
      <w:lvlJc w:val="left"/>
      <w:pPr>
        <w:ind w:left="5992" w:hanging="360"/>
      </w:pPr>
      <w:rPr/>
    </w:lvl>
    <w:lvl w:ilvl="7">
      <w:start w:val="0"/>
      <w:numFmt w:val="bullet"/>
      <w:lvlText w:val="•"/>
      <w:lvlJc w:val="left"/>
      <w:pPr>
        <w:ind w:left="6864" w:hanging="360"/>
      </w:pPr>
      <w:rPr/>
    </w:lvl>
    <w:lvl w:ilvl="8">
      <w:start w:val="0"/>
      <w:numFmt w:val="bullet"/>
      <w:lvlText w:val="•"/>
      <w:lvlJc w:val="left"/>
      <w:pPr>
        <w:ind w:left="7736" w:hanging="36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62" w:hanging="360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•"/>
      <w:lvlJc w:val="left"/>
      <w:pPr>
        <w:ind w:left="1632" w:hanging="360"/>
      </w:pPr>
      <w:rPr/>
    </w:lvl>
    <w:lvl w:ilvl="2">
      <w:start w:val="0"/>
      <w:numFmt w:val="bullet"/>
      <w:lvlText w:val="•"/>
      <w:lvlJc w:val="left"/>
      <w:pPr>
        <w:ind w:left="2504" w:hanging="360"/>
      </w:pPr>
      <w:rPr/>
    </w:lvl>
    <w:lvl w:ilvl="3">
      <w:start w:val="0"/>
      <w:numFmt w:val="bullet"/>
      <w:lvlText w:val="•"/>
      <w:lvlJc w:val="left"/>
      <w:pPr>
        <w:ind w:left="3376" w:hanging="360"/>
      </w:pPr>
      <w:rPr/>
    </w:lvl>
    <w:lvl w:ilvl="4">
      <w:start w:val="0"/>
      <w:numFmt w:val="bullet"/>
      <w:lvlText w:val="•"/>
      <w:lvlJc w:val="left"/>
      <w:pPr>
        <w:ind w:left="4248" w:hanging="360"/>
      </w:pPr>
      <w:rPr/>
    </w:lvl>
    <w:lvl w:ilvl="5">
      <w:start w:val="0"/>
      <w:numFmt w:val="bullet"/>
      <w:lvlText w:val="•"/>
      <w:lvlJc w:val="left"/>
      <w:pPr>
        <w:ind w:left="5120" w:hanging="360"/>
      </w:pPr>
      <w:rPr/>
    </w:lvl>
    <w:lvl w:ilvl="6">
      <w:start w:val="0"/>
      <w:numFmt w:val="bullet"/>
      <w:lvlText w:val="•"/>
      <w:lvlJc w:val="left"/>
      <w:pPr>
        <w:ind w:left="5992" w:hanging="360"/>
      </w:pPr>
      <w:rPr/>
    </w:lvl>
    <w:lvl w:ilvl="7">
      <w:start w:val="0"/>
      <w:numFmt w:val="bullet"/>
      <w:lvlText w:val="•"/>
      <w:lvlJc w:val="left"/>
      <w:pPr>
        <w:ind w:left="6864" w:hanging="360"/>
      </w:pPr>
      <w:rPr/>
    </w:lvl>
    <w:lvl w:ilvl="8">
      <w:start w:val="0"/>
      <w:numFmt w:val="bullet"/>
      <w:lvlText w:val="•"/>
      <w:lvlJc w:val="left"/>
      <w:pPr>
        <w:ind w:left="7736" w:hanging="36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ira-regular.ttf"/><Relationship Id="rId2" Type="http://schemas.openxmlformats.org/officeDocument/2006/relationships/font" Target="fonts/Saira-bold.ttf"/><Relationship Id="rId3" Type="http://schemas.openxmlformats.org/officeDocument/2006/relationships/font" Target="fonts/Saira-italic.ttf"/><Relationship Id="rId4" Type="http://schemas.openxmlformats.org/officeDocument/2006/relationships/font" Target="fonts/Saira-boldItalic.ttf"/><Relationship Id="rId5" Type="http://schemas.openxmlformats.org/officeDocument/2006/relationships/font" Target="fonts/SairaThin-regular.ttf"/><Relationship Id="rId6" Type="http://schemas.openxmlformats.org/officeDocument/2006/relationships/font" Target="fonts/SairaThin-bold.ttf"/><Relationship Id="rId7" Type="http://schemas.openxmlformats.org/officeDocument/2006/relationships/font" Target="fonts/SairaThin-italic.ttf"/><Relationship Id="rId8" Type="http://schemas.openxmlformats.org/officeDocument/2006/relationships/font" Target="fonts/SairaTh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J8tx90IcPLYWQvkt2CUaCtvu+w==">AMUW2mWsnF7yHPkVuYrqlRWOtq2xUIG4o6cV4sUsR0aP+kCQuywdER2z7mUNwPBTwhG1gvpq7mX1Gm4mHc1mSwKs9gAFcmZ3zvr++GcIMntbHh93cZ9+abU=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